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footer1.xml" ContentType="application/vnd.openxmlformats-officedocument.wordprocessingml.footer+xml"/>
  <Override PartName="/word/media/rId38.jpg" ContentType="image/jpeg"/>
  <Override PartName="/word/media/rId39.jpg" ContentType="image/jpeg"/>
  <Override PartName="/word/media/rId36.jpg" ContentType="image/jpeg"/>
  <Override PartName="/word/media/rId31.jpg" ContentType="image/jpeg"/>
  <Override PartName="/word/media/rId92.jpg" ContentType="image/jpeg"/>
  <Override PartName="/word/media/rId93.jpg" ContentType="image/jpeg"/>
  <Override PartName="/word/media/rId94.jpg" ContentType="image/jpeg"/>
  <Override PartName="/word/media/image1.jpg" ContentType="image/jpeg"/>
  <Override PartName="/word/media/image2.jpg" ContentType="image/jpeg"/>
  <Override PartName="/word/media/image3.jpg" ContentType="image/jpeg"/>
  <Override PartName="/word/media/image4.jpg" ContentType="image/jpeg"/>
  <Override PartName="/word/media/image5.jpg" ContentType="image/jpeg"/>
  <Override PartName="/word/media/image6.jpg" ContentType="image/jpeg"/>
  <Override PartName="/word/media/image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profiling</w:t>
      </w:r>
      <w:r>
        <w:t xml:space="preserve"> </w:t>
      </w:r>
      <w:r>
        <w:t xml:space="preserve">hydrochemical</w:t>
      </w:r>
      <w:r>
        <w:t xml:space="preserve"> </w:t>
      </w:r>
      <w:r>
        <w:t xml:space="preserve">dynamics</w:t>
      </w:r>
      <w:r>
        <w:t xml:space="preserve"> </w:t>
      </w:r>
      <w:r>
        <w:t xml:space="preserve">in</w:t>
      </w:r>
      <w:r>
        <w:t xml:space="preserve"> </w:t>
      </w:r>
      <w:r>
        <w:t xml:space="preserve">a</w:t>
      </w:r>
      <w:r>
        <w:t xml:space="preserve"> </w:t>
      </w:r>
      <w:r>
        <w:t xml:space="preserve">rain-dominated</w:t>
      </w:r>
      <w:r>
        <w:t xml:space="preserve"> </w:t>
      </w:r>
      <w:r>
        <w:t xml:space="preserve">water</w:t>
      </w:r>
      <w:r>
        <w:t xml:space="preserve"> </w:t>
      </w:r>
      <w:r>
        <w:t xml:space="preserve">supply</w:t>
      </w:r>
      <w:r>
        <w:t xml:space="preserve"> </w:t>
      </w:r>
      <w:r>
        <w:t xml:space="preserve">area:</w:t>
      </w:r>
      <w:r>
        <w:t xml:space="preserve"> </w:t>
      </w:r>
      <w:r>
        <w:t xml:space="preserve">characterizing</w:t>
      </w:r>
      <w:r>
        <w:t xml:space="preserve"> </w:t>
      </w:r>
      <w:r>
        <w:t xml:space="preserve">the</w:t>
      </w:r>
      <w:r>
        <w:t xml:space="preserve"> </w:t>
      </w:r>
      <w:r>
        <w:t xml:space="preserve">Leech</w:t>
      </w:r>
      <w:r>
        <w:t xml:space="preserve"> </w:t>
      </w:r>
      <w:r>
        <w:t xml:space="preserve">watershed</w:t>
      </w:r>
      <w:r>
        <w:t xml:space="preserve"> </w:t>
      </w:r>
      <w:r>
        <w:t xml:space="preserve">using</w:t>
      </w:r>
      <w:r>
        <w:t xml:space="preserve"> </w:t>
      </w:r>
      <w:r>
        <w:t xml:space="preserve">passive</w:t>
      </w:r>
      <w:r>
        <w:t xml:space="preserve"> </w:t>
      </w:r>
      <w:r>
        <w:t xml:space="preserve">sampling</w:t>
      </w:r>
      <w:r>
        <w:t xml:space="preserve"> </w:t>
      </w:r>
      <w:r>
        <w:t xml:space="preserve">techniques</w:t>
      </w:r>
    </w:p>
    <w:p>
      <w:pPr>
        <w:pStyle w:val="Subtitle"/>
      </w:pPr>
      <w:r>
        <w:t xml:space="preserve">DRAFT</w:t>
      </w:r>
      <w:r>
        <w:t xml:space="preserve"> </w:t>
      </w:r>
      <w:r>
        <w:t xml:space="preserve">–</w:t>
      </w:r>
      <w:r>
        <w:t xml:space="preserve"> </w:t>
      </w:r>
      <w:r>
        <w:t xml:space="preserve">NSERC</w:t>
      </w:r>
      <w:r>
        <w:t xml:space="preserve"> </w:t>
      </w:r>
      <w:r>
        <w:t xml:space="preserve">forWater</w:t>
      </w:r>
      <w:r>
        <w:t xml:space="preserve"> </w:t>
      </w:r>
      <w:r>
        <w:t xml:space="preserve">Pacific</w:t>
      </w:r>
      <w:r>
        <w:t xml:space="preserve"> </w:t>
      </w:r>
      <w:r>
        <w:t xml:space="preserve">Maritime</w:t>
      </w:r>
      <w:r>
        <w:t xml:space="preserve"> </w:t>
      </w:r>
      <w:r>
        <w:t xml:space="preserve">Masters</w:t>
      </w:r>
      <w:r>
        <w:t xml:space="preserve"> </w:t>
      </w:r>
      <w:r>
        <w:t xml:space="preserve">Thesis</w:t>
      </w:r>
      <w:r>
        <w:t xml:space="preserve"> </w:t>
      </w:r>
      <w:r>
        <w:t xml:space="preserve">Project</w:t>
      </w:r>
    </w:p>
    <w:p>
      <w:pPr>
        <w:pStyle w:val="Author"/>
      </w:pPr>
      <w:r>
        <w:t xml:space="preserve">Hannah</w:t>
      </w:r>
      <w:r>
        <w:t xml:space="preserve"> </w:t>
      </w:r>
      <w:r>
        <w:t xml:space="preserve">J</w:t>
      </w:r>
      <w:r>
        <w:t xml:space="preserve"> </w:t>
      </w:r>
      <w:r>
        <w:t xml:space="preserve">McSorley</w:t>
      </w:r>
    </w:p>
    <w:p>
      <w:pPr>
        <w:pStyle w:val="Date"/>
      </w:pPr>
      <w:r>
        <w:t xml:space="preserve">2019-11-11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1" w:name="acronyms"/>
      <w:bookmarkEnd w:id="21"/>
      <w:r>
        <w:t xml:space="preserve">Acronyms</w:t>
      </w:r>
    </w:p>
    <w:tbl>
      <w:tblPr>
        <w:tblStyle w:val="TableNormal"/>
        <w:tblW w:type="pct" w:w="2013.888888888889"/>
        <w:tblLook w:firstRow="1"/>
      </w:tblPr>
      <w:tblGrid>
        <w:gridCol w:w="990"/>
        <w:gridCol w:w="770"/>
        <w:gridCol w:w="1430"/>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Heading2"/>
      </w:pPr>
      <w:bookmarkStart w:id="22" w:name="acknowledgements"/>
      <w:bookmarkEnd w:id="22"/>
      <w:r>
        <w:t xml:space="preserve">Acknowledgements</w:t>
      </w:r>
    </w:p>
    <w:p>
      <w:pPr>
        <w:pStyle w:val="FirstParagraph"/>
      </w:pPr>
      <w:r>
        <w:t xml:space="preserve">This research work would not have been possible without the support and accommodation of the Capital Regional District (CRD) Watershed Protection and Management Division, Integrated Water Services (IWS), Victoria, BC. In particular, Hannah McSorley would like to acknowledge the help, support and assistance provided by:</w:t>
      </w:r>
    </w:p>
    <w:p>
      <w:pPr>
        <w:pStyle w:val="Compact"/>
        <w:numPr>
          <w:numId w:val="1001"/>
          <w:ilvl w:val="0"/>
        </w:numPr>
      </w:pPr>
      <w:r>
        <w:t xml:space="preserve">Tobi Gardner | Senior Hydrologist</w:t>
      </w:r>
    </w:p>
    <w:p>
      <w:pPr>
        <w:pStyle w:val="Compact"/>
        <w:numPr>
          <w:numId w:val="1001"/>
          <w:ilvl w:val="0"/>
        </w:numPr>
      </w:pPr>
      <w:r>
        <w:t xml:space="preserve">Joel Ussery | Manager, Resource Planning</w:t>
      </w:r>
    </w:p>
    <w:p>
      <w:pPr>
        <w:pStyle w:val="Compact"/>
        <w:numPr>
          <w:numId w:val="1001"/>
          <w:ilvl w:val="0"/>
        </w:numPr>
      </w:pPr>
      <w:r>
        <w:t xml:space="preserve">Annette Constabel | Senior Manager</w:t>
      </w:r>
    </w:p>
    <w:p>
      <w:pPr>
        <w:pStyle w:val="Compact"/>
        <w:numPr>
          <w:numId w:val="1001"/>
          <w:ilvl w:val="0"/>
        </w:numPr>
      </w:pPr>
      <w:r>
        <w:t xml:space="preserve">Christoph Moch | Manager, Water Quality Operations</w:t>
      </w:r>
    </w:p>
    <w:p>
      <w:pPr>
        <w:pStyle w:val="Compact"/>
        <w:numPr>
          <w:numId w:val="1001"/>
          <w:ilvl w:val="0"/>
        </w:numPr>
      </w:pPr>
      <w:r>
        <w:t xml:space="preserve">Kathy Haesevoats | Watershed Technologist</w:t>
      </w:r>
    </w:p>
    <w:p>
      <w:pPr>
        <w:pStyle w:val="Compact"/>
        <w:numPr>
          <w:numId w:val="1001"/>
          <w:ilvl w:val="0"/>
        </w:numPr>
      </w:pPr>
      <w:r>
        <w:t xml:space="preserve">Ryan Biggs | Watershed Technician 2, Resource Planning(?)</w:t>
      </w:r>
    </w:p>
    <w:p>
      <w:pPr>
        <w:pStyle w:val="Compact"/>
        <w:numPr>
          <w:numId w:val="1001"/>
          <w:ilvl w:val="0"/>
        </w:numPr>
      </w:pPr>
      <w:r>
        <w:t xml:space="preserve">Burn Hemus | ?</w:t>
      </w:r>
    </w:p>
    <w:p>
      <w:pPr>
        <w:pStyle w:val="Compact"/>
        <w:numPr>
          <w:numId w:val="1001"/>
          <w:ilvl w:val="0"/>
        </w:numPr>
      </w:pPr>
      <w:r>
        <w:t xml:space="preserve">Jessica Dupuis | ?? Water Quality Operations</w:t>
      </w:r>
    </w:p>
    <w:p>
      <w:pPr>
        <w:pStyle w:val="Compact"/>
        <w:numPr>
          <w:numId w:val="1001"/>
          <w:ilvl w:val="0"/>
        </w:numPr>
      </w:pPr>
      <w:r>
        <w:t xml:space="preserve">Nigel Burrows | Manager Watershed Fire, Security and Emergency Response</w:t>
      </w:r>
    </w:p>
    <w:p>
      <w:pPr>
        <w:pStyle w:val="Compact"/>
        <w:numPr>
          <w:numId w:val="1001"/>
          <w:ilvl w:val="0"/>
        </w:numPr>
      </w:pPr>
      <w:r>
        <w:t xml:space="preserve">Patrick McCoubrey | Security Chargehand</w:t>
      </w:r>
    </w:p>
    <w:p>
      <w:pPr>
        <w:pStyle w:val="Compact"/>
        <w:numPr>
          <w:numId w:val="1001"/>
          <w:ilvl w:val="0"/>
        </w:numPr>
      </w:pPr>
      <w:r>
        <w:t xml:space="preserve">Devon Barnes, RPF, MSc | Watershed Protection Senior Supervisor</w:t>
      </w:r>
    </w:p>
    <w:p>
      <w:pPr>
        <w:pStyle w:val="FirstParagraph"/>
      </w:pPr>
      <w:r>
        <w:t xml:space="preserve">This research also would not have been possible without the academic support and encouragement from academic supervisors and partners with the NSERC forWater Network for Forested Drinking Water Source Protection Technologies:</w:t>
      </w:r>
    </w:p>
    <w:p>
      <w:pPr>
        <w:pStyle w:val="Compact"/>
        <w:numPr>
          <w:numId w:val="1002"/>
          <w:ilvl w:val="0"/>
        </w:numPr>
      </w:pPr>
      <w:r>
        <w:t xml:space="preserve">Bill Floyd | Academic co-supervisor | Adjunct Professor, Geography, Vancouver Island University &amp; Research Hydrologist, BC-FLNRO</w:t>
      </w:r>
    </w:p>
    <w:p>
      <w:pPr>
        <w:pStyle w:val="Compact"/>
        <w:numPr>
          <w:numId w:val="1002"/>
          <w:ilvl w:val="0"/>
        </w:numPr>
      </w:pPr>
      <w:r>
        <w:t xml:space="preserve">Mark Johnson | Academic co-supervisor | Professor and Canada Research Chair, University of British Columbia</w:t>
      </w:r>
    </w:p>
    <w:p>
      <w:pPr>
        <w:pStyle w:val="Compact"/>
        <w:numPr>
          <w:numId w:val="1002"/>
          <w:ilvl w:val="0"/>
        </w:numPr>
      </w:pPr>
      <w:r>
        <w:t xml:space="preserve">Mike Stone | Professor, Faculty of Environment, Dept. of Geography and Environmental Management, University of Waterloo</w:t>
      </w:r>
    </w:p>
    <w:p>
      <w:pPr>
        <w:pStyle w:val="Compact"/>
        <w:numPr>
          <w:numId w:val="1002"/>
          <w:ilvl w:val="0"/>
        </w:numPr>
      </w:pPr>
      <w:r>
        <w:t xml:space="preserve">Dana Harriman | Network Manager, University of Waterloo</w:t>
      </w:r>
    </w:p>
    <w:p>
      <w:pPr>
        <w:pStyle w:val="Compact"/>
        <w:numPr>
          <w:numId w:val="1002"/>
          <w:ilvl w:val="0"/>
        </w:numPr>
      </w:pPr>
      <w:r>
        <w:t xml:space="preserve">Monica Emelko | Principle Investigator, Scientific Director, University of Waterloo</w:t>
      </w:r>
    </w:p>
    <w:p>
      <w:pPr>
        <w:pStyle w:val="Compact"/>
        <w:numPr>
          <w:numId w:val="1002"/>
          <w:ilvl w:val="0"/>
        </w:numPr>
      </w:pPr>
      <w:r>
        <w:t xml:space="preserve">Uldis Silins | Co-Principle Investigator, Co-Scientific Director, University of Alberta</w:t>
      </w:r>
    </w:p>
    <w:p>
      <w:pPr>
        <w:pStyle w:val="Compact"/>
        <w:numPr>
          <w:numId w:val="1002"/>
          <w:ilvl w:val="0"/>
        </w:numPr>
      </w:pPr>
      <w:r>
        <w:t xml:space="preserve">Danielle Lindamood |(former) Knowledge Mobilization Manager</w:t>
      </w:r>
    </w:p>
    <w:p>
      <w:pPr>
        <w:pStyle w:val="Compact"/>
        <w:numPr>
          <w:numId w:val="1002"/>
          <w:ilvl w:val="0"/>
        </w:numPr>
      </w:pPr>
      <w:r>
        <w:t xml:space="preserve">Allie Dusome | Communications Officer, the Water Institute, University of Waterloo</w:t>
      </w:r>
    </w:p>
    <w:p>
      <w:pPr>
        <w:pStyle w:val="Compact"/>
        <w:numPr>
          <w:numId w:val="1002"/>
          <w:ilvl w:val="0"/>
        </w:numPr>
      </w:pPr>
      <w:r>
        <w:t xml:space="preserve">Axel Anderson | Professor, Faculty of Agricultural, Life and Environmental Science, Renewable Resources Dept., University of Alberta</w:t>
      </w:r>
    </w:p>
    <w:p>
      <w:pPr>
        <w:pStyle w:val="Heading1"/>
      </w:pPr>
      <w:bookmarkStart w:id="23" w:name="introduction"/>
      <w:bookmarkEnd w:id="23"/>
      <w:r>
        <w:t xml:space="preserve">Introduction</w:t>
      </w:r>
    </w:p>
    <w:p>
      <w:pPr>
        <w:pStyle w:val="Heading2"/>
      </w:pPr>
      <w:bookmarkStart w:id="24" w:name="source-water-quality-and-rain-events"/>
      <w:bookmarkEnd w:id="24"/>
      <w:r>
        <w:t xml:space="preserve">Source water quality and rain events</w:t>
      </w:r>
    </w:p>
    <w:p>
      <w:pPr>
        <w:pStyle w:val="Heading3"/>
      </w:pPr>
      <w:bookmarkStart w:id="25" w:name="stormflow-and-sampling-including-passive-sampling-techniques-and-advantages"/>
      <w:bookmarkEnd w:id="25"/>
      <w:r>
        <w:t xml:space="preserve">Stormflow and sampling (including passive sampling techniques and advantages)</w:t>
      </w:r>
    </w:p>
    <w:p>
      <w:pPr>
        <w:pStyle w:val="Heading3"/>
      </w:pPr>
      <w:bookmarkStart w:id="26" w:name="disscolved-organic-carbon-and-water-treatment"/>
      <w:bookmarkEnd w:id="26"/>
      <w:r>
        <w:t xml:space="preserve">Disscolved organic carbon and water treatment</w:t>
      </w:r>
    </w:p>
    <w:p>
      <w:pPr>
        <w:pStyle w:val="Heading3"/>
      </w:pPr>
      <w:bookmarkStart w:id="27" w:name="dissolved-organic-carbon-and-other-parameters"/>
      <w:bookmarkEnd w:id="27"/>
      <w:r>
        <w:t xml:space="preserve">Dissolved organic carbon and other parameters</w:t>
      </w:r>
    </w:p>
    <w:p>
      <w:pPr>
        <w:pStyle w:val="Heading2"/>
      </w:pPr>
      <w:bookmarkStart w:id="28" w:name="greater-victoria-regional-water-supply-system"/>
      <w:bookmarkEnd w:id="28"/>
      <w:r>
        <w:t xml:space="preserve">Greater Victoria Regional Water Supply System</w:t>
      </w:r>
    </w:p>
    <w:p>
      <w:pPr>
        <w:pStyle w:val="FirstParagraph"/>
      </w:pPr>
      <w:r>
        <w:t xml:space="preserve">The Capital Regional District (CRD) owns and operates the water supply system for the Greater Victoria region. As a water purveyor, CRD supplies an average of 130 million liters of treated water to customers each day</w:t>
      </w:r>
      <w:r>
        <w:t xml:space="preserve"> </w:t>
      </w:r>
      <w:r>
        <w:t xml:space="preserve">(Capital Region District 2017)</w:t>
      </w:r>
      <w:r>
        <w:t xml:space="preserve">. The provision of safe and sustainable drinking water is regulated by three bodies above the CRD: federal, provincial, and regional. Health Canada (federal government) publishes Canadian Drinking Water Quality Guidelines which outline quantitative bounds for microbial, chemical, radiological parameters and physical aesthetic characteristics of safe drinking water. Through the Public Health Act and Regulation, the Drinking Water Protection Act and the Water Sustainability Act, the province of British Columbia sets requirements for planning, reporting and regualting of drinking water providers. The Vancouver Island Health Authority, Island Health, is the agency that the CRD reports to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secondary supply source is Goldstream reservoir and the designated (supplemental) future water supply is the Leech River watershed. Unfiltered source water is first treated with ultraviolet light (to deactivate parasites) and free chlorine (to deactive bacteria and viruses); secondarily, ammonia is added to produce chloramine, a long-lasting disinfectant</w:t>
      </w:r>
      <w:r>
        <w:t xml:space="preserve"> </w:t>
      </w:r>
      <w:r>
        <w:t xml:space="preserve">(Capital Region District 2017)</w:t>
      </w:r>
      <w:r>
        <w:t xml:space="preserve">.</w:t>
      </w:r>
    </w:p>
    <w:p>
      <w:pPr>
        <w:pStyle w:val="BodyText"/>
      </w:pPr>
      <w:r>
        <w:t xml:space="preserve">The Leech River watershed is adjacent to Sooke Reservoir, which is the primary water supply for the Greater Victoria Area. In anticipation of future water demands and uncertainty related to rainfall and climate change, the Capital Regional District (CRD) purchased 9,628 hectares (about 92%) of the Leech River watershed in 2007 () and 2010 (), and designated the Leech Water Supply Area (LWSA) as future supplemental water supply. The Leech Tunnel was constructed in the 1980’s to transfer Leech River water into the Sooke watershed. The Tunnel is not currently operational, and it’s anticipated that inter-basin transfer won’t be required until 2050 or later.</w:t>
      </w:r>
    </w:p>
    <w:p>
      <w:pPr>
        <w:pStyle w:val="BlockText"/>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w:t>
      </w:r>
      <w:r>
        <w:t xml:space="preserve"> </w:t>
      </w:r>
      <w:r>
        <w:t xml:space="preserve">~</w:t>
      </w:r>
      <w:r>
        <w:t xml:space="preserve">(Capital Region District 2017)</w:t>
      </w:r>
    </w:p>
    <w:p>
      <w:pPr>
        <w:pStyle w:val="Heading1"/>
      </w:pPr>
      <w:bookmarkStart w:id="29" w:name="research-area-leech-river-watershed"/>
      <w:bookmarkEnd w:id="29"/>
      <w:r>
        <w:t xml:space="preserve">Research area: Leech River Watershed</w:t>
      </w:r>
    </w:p>
    <w:p>
      <w:pPr>
        <w:pStyle w:val="FirstParagraph"/>
      </w:pPr>
      <w:r>
        <w:t xml:space="preserve">The Leech River watershed is located on south-east Vancouver Island, British Columbia, Canada. The area is in the Coastal Western Hemlock Biogeoclimatic Zone. The hydroclimatic regime for the Leech watershed is pluvial (rain-dominated climate). Annual rainfall is typically between xxxx - yyyy mm (~2500 mm/yr). This areas has a strong seasonal distribution of rainfall: approximately 90% of rain falls from September to April, with only about 10% of annual rainfall occurring from May to August. The watershed forests are dominated by western red cedar, hemlock, and Douglas fir.</w:t>
      </w:r>
    </w:p>
    <w:p>
      <w:pPr>
        <w:pStyle w:val="BodyText"/>
      </w:pPr>
      <w:r>
        <w:t xml:space="preserve">Prior to purchase by the CRD, the LWSA was privately managed forest land. Approximately 96% of the Leech watershed was harvested by clear cut. The majority</w:t>
      </w:r>
      <w:r>
        <w:t xml:space="preserve"> </w:t>
      </w:r>
      <w:r>
        <w:rPr>
          <w:b/>
        </w:rPr>
        <w:t xml:space="preserve">(?% of total area)</w:t>
      </w:r>
      <w:r>
        <w:t xml:space="preserve"> </w:t>
      </w:r>
      <w:r>
        <w:t xml:space="preserve">of the LWSA forests are under 30 years of age. Now designated as a Water Supply Area, the Leech is managed by the CRD for source water protection, ecosystem services, and forest resilience. As forest fires pose a serious threat to monocultured and even-aged stands (</w:t>
      </w:r>
      <w:r>
        <w:rPr>
          <w:b/>
        </w:rPr>
        <w:t xml:space="preserve">REFS</w:t>
      </w:r>
      <w:r>
        <w:t xml:space="preserve">), particularly during the drought of summer, forest fuel management is a key preemptive risk reduction for the CRD.</w:t>
      </w:r>
      <w:r>
        <w:t xml:space="preserve"> </w:t>
      </w:r>
      <w:r>
        <w:t xml:space="preserve">** DID LEECH GET P.C.T &amp; WAS IT PLANTED** – {** pre-commercial thinning 5-10yrs after regen, versus 20 yrs, versus problem**}</w:t>
      </w:r>
    </w:p>
    <w:p>
      <w:pPr>
        <w:pStyle w:val="BodyText"/>
      </w:pPr>
      <w:r>
        <w:t xml:space="preserve">The Leech River system is composed of three main stem rivers, numerous tributaries, and four small headwater lakes. The rivers are flashy: they respond rapidly to rain events, rising and falling dramatically. The hydrology of the LWSA is poorly understood, as is the water quality. In the mid-1980’s, some water was transfered from the Leech River into Deception Gulch and Reservoir (adjacent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but is beyond the scope of this thesis research. Before work is done on inter-basin transfers, the hydrology and water quality of the Leech River system need to be better understood. The timing and magnitude of flows is important to accommodate the water license that the CRD holds for</w:t>
      </w:r>
      <w:r>
        <w:t xml:space="preserve"> </w:t>
      </w:r>
      <w:r>
        <w:rPr>
          <w:b/>
        </w:rPr>
        <w:t xml:space="preserve">winter</w:t>
      </w:r>
      <w:r>
        <w:t xml:space="preserve"> </w:t>
      </w:r>
      <w:r>
        <w:t xml:space="preserve">withdraws from the Leech. Understanding source water quality is an essential part of managing water supply and a foundation of the multiple barrier approach to clean drinking water.</w:t>
      </w:r>
    </w:p>
    <w:p>
      <w:pPr>
        <w:pStyle w:val="BodyText"/>
      </w:pPr>
      <w:r>
        <w:t xml:space="preserve">This thesis research bridges the CRD’s commitment to planning for the future use of the LWSA with the objectives of the forWater Network, by establishing an understanding of</w:t>
      </w:r>
      <w:r>
        <w:t xml:space="preserve"> </w:t>
      </w:r>
      <w:r>
        <w:t xml:space="preserve">“</w:t>
      </w:r>
      <w:r>
        <w:t xml:space="preserve">natural</w:t>
      </w:r>
      <w:r>
        <w:t xml:space="preserve">”</w:t>
      </w:r>
      <w:r>
        <w:t xml:space="preserve"> </w:t>
      </w:r>
      <w:r>
        <w:t xml:space="preserve">hydrochemical variability across a forested source water area. The caveat on the term</w:t>
      </w:r>
      <w:r>
        <w:t xml:space="preserve"> </w:t>
      </w:r>
      <w:r>
        <w:t xml:space="preserve">“</w:t>
      </w:r>
      <w:r>
        <w:t xml:space="preserve">natural</w:t>
      </w:r>
      <w:r>
        <w:t xml:space="preserve">”</w:t>
      </w:r>
      <w:r>
        <w:t xml:space="preserve"> </w:t>
      </w:r>
      <w:r>
        <w:t xml:space="preserve">is to say that the majority (** HOW MANY</w:t>
      </w:r>
      <w:r>
        <w:t xml:space="preserve"> </w:t>
      </w:r>
      <w:r>
        <w:rPr>
          <w:b/>
        </w:rPr>
        <w:t xml:space="preserve">) of forested ecosystems on Vancouver Island are second growth forests which have been previously been harvested. The forest industry is a crucial component of BC’s economic system, and essential to the lives that people on the coast are accustomed to. (</w:t>
      </w:r>
      <w:r>
        <w:t xml:space="preserve"> </w:t>
      </w:r>
      <w:r>
        <w:t xml:space="preserve">facts about forestry in BC **).</w:t>
      </w:r>
    </w:p>
    <w:p>
      <w:pPr>
        <w:pStyle w:val="Heading2"/>
      </w:pPr>
      <w:bookmarkStart w:id="30" w:name="research-objectives"/>
      <w:bookmarkEnd w:id="30"/>
      <w:r>
        <w:t xml:space="preserve">Research Objectives</w:t>
      </w:r>
    </w:p>
    <w:p>
      <w:pPr>
        <w:pStyle w:val="FirstParagraph"/>
      </w:pPr>
      <w:r>
        <w:t xml:space="preserve">As part of the Pacific Maritime Reserch Platform in forWater’s</w:t>
      </w:r>
      <w:r>
        <w:t xml:space="preserve"> </w:t>
      </w:r>
      <w:r>
        <w:rPr>
          <w:i/>
        </w:rPr>
        <w:t xml:space="preserve">‘</w:t>
      </w:r>
      <w:r>
        <w:rPr>
          <w:i/>
        </w:rPr>
        <w:t xml:space="preserve">Watershed Science and Forest Management</w:t>
      </w:r>
      <w:r>
        <w:rPr>
          <w:i/>
        </w:rPr>
        <w:t xml:space="preserve">’</w:t>
      </w:r>
      <w:r>
        <w:t xml:space="preserve"> </w:t>
      </w:r>
      <w:r>
        <w:t xml:space="preserve">Theme, this thesis research was carried out in partnership with the CRD in the future water supply area of the Leech River watershed. This research project was designed to contribute to the characterization of the LWSA and better our understanding of spatial and temporal variability in DOC dynamics across a second growth forested catchment. This work set out to establish a baseline understanding of hydrologic responses and water quality variabilty in rivers across the LWSA, contributing to the CRDs ongoing pursuit of characterizing the Leech.</w:t>
      </w:r>
      <w:r>
        <w:t xml:space="preserve"> </w:t>
      </w:r>
      <w:r>
        <w:t xml:space="preserve">This thesis research approach included advanced synoptic sampling within stormflow, supplemented with standard grab samples between storm events and during summer baseflow. Discrete samples of river water were collected passively during the rising limb of stormflow xx(falling limb prototype in progress)xx using low-powered, low-cost, custom-built vertical rack samplers including water level loggers and reference staff gauges. By collecting samples during stormflow, rather than only opportunitic grab sampling, a more robust understanding of water quality dynamics was achieved. Using low-powered passive sampling techniques allowed for six (6) research sites to be equipped with monitoring/sampling racks, providing fairly good spatial resolution of hydrochemical variability across the watershed.</w:t>
      </w:r>
    </w:p>
    <w:p>
      <w:pPr>
        <w:pStyle w:val="BodyText"/>
      </w:pPr>
      <w:r>
        <w:t xml:space="preserve">The research presented in this thesis focuses on describing the spacial and temporal patterns and trends in water quality across the Leech River watershed, an area with a history of extensive forest harvest. Spatial variability was addressed by setting up parallel monitoring stations at six locations respresenting the headwaters and three main stem rivers of the Leech River system. Temporal variability was addressed at the seasonal scale via continuous 16 month study (October 2018 to February 2020), and on a shorter timeframe, at the scale of stormflow. The research questions and hypotheses addressed here were:</w:t>
      </w:r>
    </w:p>
    <w:p>
      <w:pPr>
        <w:pStyle w:val="Compact"/>
        <w:numPr>
          <w:numId w:val="1003"/>
          <w:ilvl w:val="0"/>
        </w:numPr>
      </w:pPr>
      <w:r>
        <w:rPr>
          <w:b/>
        </w:rPr>
        <w:t xml:space="preserve">1.</w:t>
      </w:r>
      <w:r>
        <w:t xml:space="preserve"> </w:t>
      </w:r>
      <w:r>
        <w:t xml:space="preserve">How do water quality and hydrologic response vary across the Leech Water Supply Area?</w:t>
      </w:r>
    </w:p>
    <w:p>
      <w:pPr>
        <w:pStyle w:val="Compact"/>
        <w:numPr>
          <w:numId w:val="1004"/>
          <w:ilvl w:val="1"/>
        </w:numPr>
      </w:pPr>
      <w:r>
        <w:rPr>
          <w:i/>
          <w:b/>
        </w:rPr>
        <w:t xml:space="preserve">Hypothesis 1.1:</w:t>
      </w:r>
      <w:r>
        <w:t xml:space="preserve"> </w:t>
      </w:r>
      <w:r>
        <w:t xml:space="preserve">The headwater site with wetland characteristics will have the highest DOC concentration.</w:t>
      </w:r>
    </w:p>
    <w:p>
      <w:pPr>
        <w:pStyle w:val="Compact"/>
        <w:numPr>
          <w:numId w:val="1004"/>
          <w:ilvl w:val="1"/>
        </w:numPr>
      </w:pPr>
      <w:r>
        <w:rPr>
          <w:i/>
          <w:b/>
        </w:rPr>
        <w:t xml:space="preserve">Hypothesis 1.2:</w:t>
      </w:r>
      <w:r>
        <w:t xml:space="preserve"> </w:t>
      </w:r>
      <w:r>
        <w:t xml:space="preserve">DOC concentrations will decrease from headwaters to mouth due to dilution effects from the increasing drainage area.</w:t>
      </w:r>
    </w:p>
    <w:p>
      <w:pPr>
        <w:pStyle w:val="Compact"/>
        <w:numPr>
          <w:numId w:val="1003"/>
          <w:ilvl w:val="0"/>
        </w:numPr>
      </w:pPr>
      <w:r>
        <w:rPr>
          <w:b/>
        </w:rPr>
        <w:t xml:space="preserve">2.</w:t>
      </w:r>
      <w:r>
        <w:t xml:space="preserve"> </w:t>
      </w:r>
      <w:r>
        <w:t xml:space="preserve">What are the temporal patterns in water quality changes, both seasonally and within stormflow?</w:t>
      </w:r>
    </w:p>
    <w:p>
      <w:pPr>
        <w:pStyle w:val="Compact"/>
        <w:numPr>
          <w:numId w:val="1005"/>
          <w:ilvl w:val="1"/>
        </w:numPr>
      </w:pPr>
      <w:r>
        <w:rPr>
          <w:i/>
          <w:b/>
        </w:rPr>
        <w:t xml:space="preserve">Hypothsis 2.1:</w:t>
      </w:r>
      <w:r>
        <w:t xml:space="preserve"> </w:t>
      </w:r>
      <w:r>
        <w:t xml:space="preserve">Compared to late wet-season rain events, early wet-season storms will yield the highest concentrations of stream DOC due to flushing of terestrial organic matter.</w:t>
      </w:r>
    </w:p>
    <w:p>
      <w:pPr>
        <w:pStyle w:val="Compact"/>
        <w:numPr>
          <w:numId w:val="1005"/>
          <w:ilvl w:val="1"/>
        </w:numPr>
      </w:pPr>
      <w:r>
        <w:rPr>
          <w:i/>
          <w:b/>
        </w:rPr>
        <w:t xml:space="preserve">Hypothesis 2.2:</w:t>
      </w:r>
      <w:r>
        <w:t xml:space="preserve"> </w:t>
      </w:r>
      <w:r>
        <w:t xml:space="preserve">Baseflow DOC concentrations will increase over the summer due to concentration of instream organic matters.</w:t>
      </w:r>
    </w:p>
    <w:p>
      <w:pPr>
        <w:pStyle w:val="Compact"/>
        <w:numPr>
          <w:numId w:val="1003"/>
          <w:ilvl w:val="0"/>
        </w:numPr>
      </w:pPr>
      <w:r>
        <w:rPr>
          <w:b/>
        </w:rPr>
        <w:t xml:space="preserve">3.</w:t>
      </w:r>
      <w:r>
        <w:t xml:space="preserve"> </w:t>
      </w:r>
      <w:r>
        <w:t xml:space="preserve">What are the patterns in hydrochemical dynamics at the future point of diversion (Leech Tunnel), and what are the treatment implications?</w:t>
      </w:r>
    </w:p>
    <w:p>
      <w:pPr>
        <w:pStyle w:val="Compact"/>
        <w:numPr>
          <w:numId w:val="1006"/>
          <w:ilvl w:val="1"/>
        </w:numPr>
      </w:pPr>
      <w:r>
        <w:rPr>
          <w:i/>
          <w:b/>
        </w:rPr>
        <w:t xml:space="preserve">Hypothesis 3.1:</w:t>
      </w:r>
      <w:r>
        <w:t xml:space="preserve"> </w:t>
      </w:r>
      <w:r>
        <w:t xml:space="preserve">The Tunnel site will integrate characteristics of each of the nested catchments (sites 1-5) with a slightly stronger signature of the West Leech River due to close proximity of it’s confluence.</w:t>
      </w:r>
    </w:p>
    <w:p>
      <w:pPr>
        <w:pStyle w:val="Compact"/>
        <w:numPr>
          <w:numId w:val="1006"/>
          <w:ilvl w:val="1"/>
        </w:numPr>
      </w:pPr>
      <w:r>
        <w:rPr>
          <w:i/>
          <w:b/>
        </w:rPr>
        <w:t xml:space="preserve">Hypotheiss 3.2:</w:t>
      </w:r>
      <w:r>
        <w:t xml:space="preserve"> </w:t>
      </w:r>
      <w:r>
        <w:t xml:space="preserve">The DOC concentration at the Tunnel site will be the lowest of all six sites and will not exceed drinking water quality guidelines.</w:t>
      </w:r>
    </w:p>
    <w:p>
      <w:pPr>
        <w:pStyle w:val="FirstParagraph"/>
      </w:pPr>
      <w:r>
        <w:t xml:space="preserve">Research objectives, based on these questions, were to:</w:t>
      </w:r>
    </w:p>
    <w:p>
      <w:pPr>
        <w:pStyle w:val="Compact"/>
        <w:numPr>
          <w:numId w:val="1007"/>
          <w:ilvl w:val="0"/>
        </w:numPr>
      </w:pPr>
      <w:r>
        <w:t xml:space="preserve">Monitor water quality and water level across the LWSA,</w:t>
      </w:r>
      <w:r>
        <w:br w:type="textWrapping"/>
      </w:r>
    </w:p>
    <w:p>
      <w:pPr>
        <w:pStyle w:val="Compact"/>
        <w:numPr>
          <w:numId w:val="1007"/>
          <w:ilvl w:val="0"/>
        </w:numPr>
      </w:pPr>
      <w:r>
        <w:t xml:space="preserve">Identify differences and similarities between sites (spatial) and variations over time (temporal, short and relatively long scales),</w:t>
      </w:r>
    </w:p>
    <w:p>
      <w:pPr>
        <w:pStyle w:val="Compact"/>
        <w:numPr>
          <w:numId w:val="1007"/>
          <w:ilvl w:val="0"/>
        </w:numPr>
      </w:pPr>
      <w:r>
        <w:t xml:space="preserve">Collaborate with forWater Network partners to assess the implications for drinking water treatment and relate findings to sub-basin characteristics.</w:t>
      </w:r>
    </w:p>
    <w:p>
      <w:pPr>
        <w:pStyle w:val="FirstParagraph"/>
      </w:pPr>
      <w:r>
        <w:t xml:space="preserve"> </w:t>
      </w:r>
      <w:r>
        <w:t xml:space="preserve">Tasks related to these research objectives were: site selection, method development, field installations, sample collection and analysis, data analysis and interpretation</w:t>
      </w:r>
    </w:p>
    <w:p>
      <w:pPr>
        <w:pStyle w:val="FigureWithCaption"/>
      </w:pPr>
      <w:r>
        <w:drawing>
          <wp:inline>
            <wp:extent cx="4334256" cy="4133088"/>
            <wp:effectExtent b="0" l="0" r="0" t="0"/>
            <wp:docPr descr="Masters thesis task flowchart" title="" id="1" name="Picture"/>
            <a:graphic>
              <a:graphicData uri="http://schemas.openxmlformats.org/drawingml/2006/picture">
                <pic:pic>
                  <pic:nvPicPr>
                    <pic:cNvPr descr="images/MSc_tasksflowchart.jpg" id="0" name="Picture"/>
                    <pic:cNvPicPr>
                      <a:picLocks noChangeArrowheads="1" noChangeAspect="1"/>
                    </pic:cNvPicPr>
                  </pic:nvPicPr>
                  <pic:blipFill>
                    <a:blip r:embed="rId31"/>
                    <a:stretch>
                      <a:fillRect/>
                    </a:stretch>
                  </pic:blipFill>
                  <pic:spPr bwMode="auto">
                    <a:xfrm>
                      <a:off x="0" y="0"/>
                      <a:ext cx="4334256" cy="4133088"/>
                    </a:xfrm>
                    <a:prstGeom prst="rect">
                      <a:avLst/>
                    </a:prstGeom>
                    <a:noFill/>
                    <a:ln w="9525">
                      <a:noFill/>
                      <a:headEnd/>
                      <a:tailEnd/>
                    </a:ln>
                  </pic:spPr>
                </pic:pic>
              </a:graphicData>
            </a:graphic>
          </wp:inline>
        </w:drawing>
      </w:r>
    </w:p>
    <w:p>
      <w:pPr>
        <w:pStyle w:val="ImageCaption"/>
      </w:pPr>
      <w:r>
        <w:t xml:space="preserve">Masters thesis task flowchart</w:t>
      </w:r>
    </w:p>
    <w:p>
      <w:pPr>
        <w:pStyle w:val="Heading2"/>
      </w:pPr>
      <w:bookmarkStart w:id="32" w:name="research-sites"/>
      <w:bookmarkEnd w:id="32"/>
      <w:r>
        <w:t xml:space="preserve">Research sites</w:t>
      </w:r>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right"/>
            </w:pPr>
            <w:r>
              <w:t xml:space="preserve">Drainage Area (km</w:t>
            </w:r>
            <w:r>
              <w:rPr>
                <w:vertAlign w:val="superscript"/>
              </w:rPr>
              <w:t xml:space="preserve">2</w:t>
            </w:r>
            <w:r>
              <w:t xml:space="preserve">)</w:t>
            </w:r>
          </w:p>
        </w:tc>
        <w:tc>
          <w:tcPr>
            <w:tcBorders>
              <w:bottom w:val="single"/>
            </w:tcBorders>
            <w:vAlign w:val="bottom"/>
          </w:tcPr>
          <w:p>
            <w:pPr>
              <w:pStyle w:val="Compact"/>
              <w:jc w:val="right"/>
            </w:pPr>
            <w:r>
              <w:t xml:space="preserve">Elevation (m a.s.l)</w:t>
            </w:r>
          </w:p>
        </w:tc>
      </w:tr>
      <w:tr>
        <w:tc>
          <w:p>
            <w:pPr>
              <w:pStyle w:val="Compact"/>
              <w:jc w:val="left"/>
            </w:pPr>
            <w:r>
              <w:t xml:space="preserve">1</w:t>
            </w:r>
          </w:p>
        </w:tc>
        <w:tc>
          <w:p>
            <w:pPr>
              <w:pStyle w:val="Compact"/>
              <w:jc w:val="left"/>
            </w:pPr>
            <w:r>
              <w:t xml:space="preserve">Weeks Outlet</w:t>
            </w:r>
          </w:p>
        </w:tc>
        <w:tc>
          <w:p>
            <w:pPr>
              <w:pStyle w:val="Compact"/>
              <w:jc w:val="left"/>
            </w:pPr>
            <w:r>
              <w:t xml:space="preserve">Wetland-draining headwaters</w:t>
            </w:r>
          </w:p>
        </w:tc>
        <w:tc>
          <w:p>
            <w:pPr>
              <w:pStyle w:val="Compact"/>
              <w:jc w:val="right"/>
            </w:pPr>
            <w:r>
              <w:t xml:space="preserve">16.1</w:t>
            </w:r>
          </w:p>
        </w:tc>
        <w:tc>
          <w:p>
            <w:pPr>
              <w:pStyle w:val="Compact"/>
              <w:jc w:val="right"/>
            </w:pPr>
            <w:r>
              <w:t xml:space="preserve">XX</w:t>
            </w:r>
          </w:p>
        </w:tc>
      </w:tr>
      <w:tr>
        <w:tc>
          <w:p>
            <w:pPr>
              <w:pStyle w:val="Compact"/>
              <w:jc w:val="left"/>
            </w:pPr>
            <w:r>
              <w:t xml:space="preserve">2</w:t>
            </w:r>
          </w:p>
        </w:tc>
        <w:tc>
          <w:p>
            <w:pPr>
              <w:pStyle w:val="Compact"/>
              <w:jc w:val="left"/>
            </w:pPr>
            <w:r>
              <w:t xml:space="preserve">Chris Creek</w:t>
            </w:r>
          </w:p>
        </w:tc>
        <w:tc>
          <w:p>
            <w:pPr>
              <w:pStyle w:val="Compact"/>
              <w:jc w:val="left"/>
            </w:pPr>
            <w:r>
              <w:t xml:space="preserve">Headwaters</w:t>
            </w:r>
          </w:p>
        </w:tc>
        <w:tc>
          <w:p>
            <w:pPr>
              <w:pStyle w:val="Compact"/>
              <w:jc w:val="right"/>
            </w:pPr>
            <w:r>
              <w:t xml:space="preserve">9.6</w:t>
            </w:r>
          </w:p>
        </w:tc>
        <w:tc>
          <w:p>
            <w:pPr>
              <w:pStyle w:val="Compact"/>
              <w:jc w:val="right"/>
            </w:pPr>
            <w:r>
              <w:t xml:space="preserve">XX</w:t>
            </w:r>
          </w:p>
        </w:tc>
      </w:tr>
      <w:tr>
        <w:tc>
          <w:p>
            <w:pPr>
              <w:pStyle w:val="Compact"/>
              <w:jc w:val="left"/>
            </w:pPr>
            <w:r>
              <w:t xml:space="preserve">3</w:t>
            </w:r>
          </w:p>
        </w:tc>
        <w:tc>
          <w:p>
            <w:pPr>
              <w:pStyle w:val="Compact"/>
              <w:jc w:val="left"/>
            </w:pPr>
            <w:r>
              <w:t xml:space="preserve">Leech Head</w:t>
            </w:r>
          </w:p>
        </w:tc>
        <w:tc>
          <w:p>
            <w:pPr>
              <w:pStyle w:val="Compact"/>
              <w:jc w:val="left"/>
            </w:pPr>
            <w:r>
              <w:t xml:space="preserve">Mainstem river head</w:t>
            </w:r>
          </w:p>
        </w:tc>
        <w:tc>
          <w:p>
            <w:pPr>
              <w:pStyle w:val="Compact"/>
              <w:jc w:val="right"/>
            </w:pPr>
            <w:r>
              <w:t xml:space="preserve">26.2</w:t>
            </w:r>
          </w:p>
        </w:tc>
        <w:tc>
          <w:p>
            <w:pPr>
              <w:pStyle w:val="Compact"/>
              <w:jc w:val="right"/>
            </w:pPr>
            <w:r>
              <w:t xml:space="preserve">XX</w:t>
            </w:r>
          </w:p>
        </w:tc>
      </w:tr>
      <w:tr>
        <w:tc>
          <w:p>
            <w:pPr>
              <w:pStyle w:val="Compact"/>
              <w:jc w:val="left"/>
            </w:pPr>
            <w:r>
              <w:t xml:space="preserve">4</w:t>
            </w:r>
          </w:p>
        </w:tc>
        <w:tc>
          <w:p>
            <w:pPr>
              <w:pStyle w:val="Compact"/>
              <w:jc w:val="left"/>
            </w:pPr>
            <w:r>
              <w:t xml:space="preserve">Cragg Creek</w:t>
            </w:r>
          </w:p>
        </w:tc>
        <w:tc>
          <w:p>
            <w:pPr>
              <w:pStyle w:val="Compact"/>
              <w:jc w:val="left"/>
            </w:pPr>
            <w:r>
              <w:t xml:space="preserve">Mainstem river</w:t>
            </w:r>
          </w:p>
        </w:tc>
        <w:tc>
          <w:p>
            <w:pPr>
              <w:pStyle w:val="Compact"/>
              <w:jc w:val="right"/>
            </w:pPr>
            <w:r>
              <w:t xml:space="preserve">37.1</w:t>
            </w:r>
          </w:p>
        </w:tc>
        <w:tc>
          <w:p>
            <w:pPr>
              <w:pStyle w:val="Compact"/>
              <w:jc w:val="right"/>
            </w:pPr>
            <w:r>
              <w:t xml:space="preserve">XX</w:t>
            </w:r>
          </w:p>
        </w:tc>
      </w:tr>
      <w:tr>
        <w:tc>
          <w:p>
            <w:pPr>
              <w:pStyle w:val="Compact"/>
              <w:jc w:val="left"/>
            </w:pPr>
            <w:r>
              <w:t xml:space="preserve">5</w:t>
            </w:r>
          </w:p>
        </w:tc>
        <w:tc>
          <w:p>
            <w:pPr>
              <w:pStyle w:val="Compact"/>
              <w:jc w:val="left"/>
            </w:pPr>
            <w:r>
              <w:t xml:space="preserve">West Leech</w:t>
            </w:r>
          </w:p>
        </w:tc>
        <w:tc>
          <w:p>
            <w:pPr>
              <w:pStyle w:val="Compact"/>
              <w:jc w:val="left"/>
            </w:pPr>
            <w:r>
              <w:t xml:space="preserve">Mainstem river</w:t>
            </w:r>
          </w:p>
        </w:tc>
        <w:tc>
          <w:p>
            <w:pPr>
              <w:pStyle w:val="Compact"/>
              <w:jc w:val="right"/>
            </w:pPr>
            <w:r>
              <w:t xml:space="preserve">35.2</w:t>
            </w:r>
          </w:p>
        </w:tc>
        <w:tc>
          <w:p>
            <w:pPr>
              <w:pStyle w:val="Compact"/>
              <w:jc w:val="right"/>
            </w:pPr>
            <w:r>
              <w:t xml:space="preserve">XX</w:t>
            </w:r>
          </w:p>
        </w:tc>
      </w:tr>
      <w:tr>
        <w:tc>
          <w:p>
            <w:pPr>
              <w:pStyle w:val="Compact"/>
              <w:jc w:val="left"/>
            </w:pPr>
            <w:r>
              <w:t xml:space="preserve">6</w:t>
            </w:r>
          </w:p>
        </w:tc>
        <w:tc>
          <w:p>
            <w:pPr>
              <w:pStyle w:val="Compact"/>
              <w:jc w:val="left"/>
            </w:pPr>
            <w:r>
              <w:t xml:space="preserve">Leech Tunnel</w:t>
            </w:r>
          </w:p>
        </w:tc>
        <w:tc>
          <w:p>
            <w:pPr>
              <w:pStyle w:val="Compact"/>
              <w:jc w:val="left"/>
            </w:pPr>
            <w:r>
              <w:t xml:space="preserve">Future diversion point</w:t>
            </w:r>
          </w:p>
        </w:tc>
        <w:tc>
          <w:p>
            <w:pPr>
              <w:pStyle w:val="Compact"/>
              <w:jc w:val="right"/>
            </w:pPr>
            <w:r>
              <w:t xml:space="preserve">98.7</w:t>
            </w:r>
          </w:p>
        </w:tc>
        <w:tc>
          <w:p>
            <w:pPr>
              <w:pStyle w:val="Compact"/>
              <w:jc w:val="right"/>
            </w:pPr>
            <w:r>
              <w:t xml:space="preserve">XX</w:t>
            </w:r>
          </w:p>
        </w:tc>
      </w:tr>
    </w:tbl>
    <w:p>
      <w:pPr>
        <w:pStyle w:val="BodyText"/>
      </w:pPr>
      <w:r>
        <w:t xml:space="preserve">_*Sites 1 and 2 monitor subcatchments of the site 3 drainage area._</w:t>
      </w:r>
    </w:p>
    <w:p>
      <w:pPr>
        <w:pStyle w:val="BodyText"/>
      </w:pPr>
      <w:r>
        <w:t xml:space="preserve">Note that Strahler order was used to define stream orders, such that a headwater creek is assigned first order, and the confluence of two headwater streams creates a second order stream, two second order streams join to become a third order, and so on (i.e headwaters are lowest number, mouth is highest).</w:t>
      </w:r>
    </w:p>
    <w:p>
      <w:pPr>
        <w:pStyle w:val="Heading4"/>
      </w:pPr>
      <w:bookmarkStart w:id="33" w:name="weeks-outlet"/>
      <w:bookmarkEnd w:id="33"/>
      <w:r>
        <w:t xml:space="preserve">1. Weeks Outlet</w:t>
      </w:r>
    </w:p>
    <w:p>
      <w:pPr>
        <w:pStyle w:val="FirstParagraph"/>
      </w:pPr>
      <w:r>
        <w:t xml:space="preserve">Jordan Meadows wetland is located in the northwest of Leech River watershed, it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This research site has a drainage area of approximately 16 km</w:t>
      </w:r>
      <w:r>
        <w:rPr>
          <w:vertAlign w:val="superscript"/>
        </w:rPr>
        <w:t xml:space="preserve">2</w:t>
      </w:r>
      <w:r>
        <w:t xml:space="preserve">.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SourceCode"/>
      </w:pPr>
      <w:r>
        <w:rPr>
          <w:rStyle w:val="VerbatimChar"/>
        </w:rPr>
        <w:t xml:space="preserve">![](images/XXXXX.jpg){width=50%} ![](images/YYYY.jpg){width=50%}</w:t>
      </w:r>
    </w:p>
    <w:p>
      <w:pPr>
        <w:pStyle w:val="Heading4"/>
      </w:pPr>
      <w:bookmarkStart w:id="34" w:name="chris-creek"/>
      <w:bookmarkEnd w:id="34"/>
      <w:r>
        <w:t xml:space="preserve">2. Chris Creek</w:t>
      </w:r>
    </w:p>
    <w:p>
      <w:pPr>
        <w:pStyle w:val="FirstParagraph"/>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a small lake (Worley Lake).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SourceCode"/>
      </w:pPr>
      <w:r>
        <w:rPr>
          <w:rStyle w:val="VerbatimChar"/>
        </w:rPr>
        <w:t xml:space="preserve">![](images/XXXXX.jpg){width=50%} ![](images/YYYY.jpg){width=50%}</w:t>
      </w:r>
    </w:p>
    <w:p>
      <w:pPr>
        <w:pStyle w:val="Heading4"/>
      </w:pPr>
      <w:bookmarkStart w:id="35" w:name="leech-head"/>
      <w:bookmarkEnd w:id="35"/>
      <w:r>
        <w:t xml:space="preserve">3. Leech Head</w:t>
      </w:r>
    </w:p>
    <w:p>
      <w:pPr>
        <w:pStyle w:val="FirstParagraph"/>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drawing>
          <wp:inline>
            <wp:extent cx="5943600" cy="2971800"/>
            <wp:effectExtent b="0" l="0" r="0" t="0"/>
            <wp:docPr descr="" title="" id="1" name="Picture"/>
            <a:graphic>
              <a:graphicData uri="http://schemas.openxmlformats.org/drawingml/2006/picture">
                <pic:pic>
                  <pic:nvPicPr>
                    <pic:cNvPr descr="images/LeechHead_lowflow_201908.jpg" id="0" name="Picture"/>
                    <pic:cNvPicPr>
                      <a:picLocks noChangeArrowheads="1" noChangeAspect="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Heading4"/>
      </w:pPr>
      <w:bookmarkStart w:id="37" w:name="cragg-creek"/>
      <w:bookmarkEnd w:id="37"/>
      <w:r>
        <w:t xml:space="preserve">4. Cragg Creek</w:t>
      </w:r>
    </w:p>
    <w:p>
      <w:pPr>
        <w:pStyle w:val="FirstParagraph"/>
      </w:pPr>
      <w:r>
        <w:t xml:space="preserve">Cragg Creek is a mainstem river that originates in the east of the Leech River watershed. Cragg Creek is a 4th order stream and this research site location has a drainage area of approximately 37 km</w:t>
      </w:r>
      <w:r>
        <w:rPr>
          <w:vertAlign w:val="superscript"/>
        </w:rPr>
        <w:t xml:space="preserve">2</w:t>
      </w:r>
      <w:r>
        <w:t xml:space="preserve">.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BodyText"/>
      </w:pPr>
      <w:r>
        <w:drawing>
          <wp:inline>
            <wp:extent cx="5943600" cy="4457700"/>
            <wp:effectExtent b="0" l="0" r="0" t="0"/>
            <wp:docPr descr="Cragg Creek, downstream(left) and upstream (right) of bridge" title="" id="1" name="Picture"/>
            <a:graphic>
              <a:graphicData uri="http://schemas.openxmlformats.org/drawingml/2006/picture">
                <pic:pic>
                  <pic:nvPicPr>
                    <pic:cNvPr descr="images/Cragg_downstream_20190410.jpg" id="0" name="Picture"/>
                    <pic:cNvPicPr>
                      <a:picLocks noChangeArrowheads="1" noChangeAspect="1"/>
                    </pic:cNvPicPr>
                  </pic:nvPicPr>
                  <pic:blipFill>
                    <a:blip r:embed="rId38"/>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drawing>
          <wp:inline>
            <wp:extent cx="5943600" cy="4457700"/>
            <wp:effectExtent b="0" l="0" r="0" t="0"/>
            <wp:docPr descr="" title="" id="1" name="Picture"/>
            <a:graphic>
              <a:graphicData uri="http://schemas.openxmlformats.org/drawingml/2006/picture">
                <pic:pic>
                  <pic:nvPicPr>
                    <pic:cNvPr descr="images/Cragg_upstream_20190410.jpg" id="0" name="Picture"/>
                    <pic:cNvPicPr>
                      <a:picLocks noChangeArrowheads="1" noChangeAspect="1"/>
                    </pic:cNvPicPr>
                  </pic:nvPicPr>
                  <pic:blipFill>
                    <a:blip r:embed="rId39"/>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4"/>
      </w:pPr>
      <w:bookmarkStart w:id="40" w:name="west-leech"/>
      <w:bookmarkEnd w:id="40"/>
      <w:r>
        <w:t xml:space="preserve">5. West Leech</w:t>
      </w:r>
    </w:p>
    <w:p>
      <w:pPr>
        <w:pStyle w:val="FirstParagraph"/>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Figure"/>
      </w:pPr>
    </w:p>
    <w:p>
      <w:pPr>
        <w:pStyle w:val="Heading4"/>
      </w:pPr>
      <w:bookmarkStart w:id="41" w:name="leech-tunnel"/>
      <w:bookmarkEnd w:id="41"/>
      <w:r>
        <w:t xml:space="preserve">6. Leech Tunnel</w:t>
      </w:r>
    </w:p>
    <w:p>
      <w:pPr>
        <w:pStyle w:val="FirstParagraph"/>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streambed here is dominated by Schist bedrock and boulders. The bedrock in the center of the channel is deeply incised, but overall the river is wider than is is deep. The Tunnel site is approximately 1km downstream of the West Leech confluence.</w:t>
      </w:r>
    </w:p>
    <w:p>
      <w:pPr>
        <w:pStyle w:val="SourceCode"/>
      </w:pPr>
      <w:r>
        <w:rPr>
          <w:rStyle w:val="VerbatimChar"/>
        </w:rPr>
        <w:t xml:space="preserve"> ![](images/XXXXXXX.jpg){width=30%, style="float:left; padding:10px"}</w:t>
      </w:r>
    </w:p>
    <w:p>
      <w:pPr>
        <w:pStyle w:val="Heading1"/>
      </w:pPr>
      <w:bookmarkStart w:id="42" w:name="sampling-methods"/>
      <w:bookmarkEnd w:id="42"/>
      <w:r>
        <w:t xml:space="preserve">Sampling Methods</w:t>
      </w:r>
    </w:p>
    <w:p>
      <w:pPr>
        <w:pStyle w:val="Heading2"/>
      </w:pPr>
      <w:bookmarkStart w:id="43" w:name="vertical-racks-for-passive-water-sampling-on-the-rising-limb-of-hydrograph"/>
      <w:bookmarkEnd w:id="43"/>
      <w:r>
        <w:t xml:space="preserve">Vertical racks for passive water sampling on the rising limb of hydrograph</w:t>
      </w:r>
    </w:p>
    <w:p>
      <w:pPr>
        <w:pStyle w:val="Heading3"/>
      </w:pPr>
      <w:bookmarkStart w:id="44" w:name="theory"/>
      <w:bookmarkEnd w:id="44"/>
      <w:r>
        <w:t xml:space="preserve">Theory</w:t>
      </w:r>
    </w:p>
    <w:p>
      <w:pPr>
        <w:pStyle w:val="Heading3"/>
      </w:pPr>
      <w:bookmarkStart w:id="45" w:name="design"/>
      <w:bookmarkEnd w:id="45"/>
      <w:r>
        <w:t xml:space="preserve">Design</w:t>
      </w:r>
    </w:p>
    <w:p>
      <w:pPr>
        <w:pStyle w:val="Heading3"/>
      </w:pPr>
      <w:bookmarkStart w:id="46" w:name="benefits-challenges-and-assumptions"/>
      <w:bookmarkEnd w:id="46"/>
      <w:r>
        <w:t xml:space="preserve">Benefits, challenges and assumptions</w:t>
      </w:r>
    </w:p>
    <w:p>
      <w:pPr>
        <w:pStyle w:val="Heading3"/>
      </w:pPr>
      <w:bookmarkStart w:id="47" w:name="field-protocol"/>
      <w:bookmarkEnd w:id="47"/>
      <w:r>
        <w:t xml:space="preserve">Field protocol</w:t>
      </w:r>
    </w:p>
    <w:p>
      <w:pPr>
        <w:pStyle w:val="Heading3"/>
      </w:pPr>
      <w:bookmarkStart w:id="48" w:name="method-qaqc-rising-limb-sampler-quality-assurance-and-quality-control"/>
      <w:bookmarkEnd w:id="48"/>
      <w:r>
        <w:t xml:space="preserve">Method QA/QC: rising limb sampler quality assurance and quality control</w:t>
      </w:r>
    </w:p>
    <w:p>
      <w:pPr>
        <w:pStyle w:val="Heading4"/>
      </w:pPr>
      <w:bookmarkStart w:id="49" w:name="assumption-validation-rack-samples-are-stable-from-collection-to-retrieval-and-analysis"/>
      <w:bookmarkEnd w:id="49"/>
      <w:r>
        <w:t xml:space="preserve">Assumption validation: rack samples are stable from collection to retrieval and analysis</w:t>
      </w:r>
    </w:p>
    <w:p>
      <w:pPr>
        <w:pStyle w:val="Heading5"/>
      </w:pPr>
      <w:bookmarkStart w:id="50" w:name="temperatures-above-and-below-water-on-racks"/>
      <w:bookmarkEnd w:id="50"/>
      <w:r>
        <w:t xml:space="preserve">Temperatures (above and below water on racks)</w:t>
      </w:r>
    </w:p>
    <w:p>
      <w:pPr>
        <w:pStyle w:val="Heading5"/>
      </w:pPr>
      <w:bookmarkStart w:id="51" w:name="hold-time-experiments"/>
      <w:bookmarkEnd w:id="51"/>
      <w:r>
        <w:t xml:space="preserve">Hold-time experiments</w:t>
      </w:r>
    </w:p>
    <w:p>
      <w:pPr>
        <w:pStyle w:val="Heading4"/>
      </w:pPr>
      <w:bookmarkStart w:id="52" w:name="assumption-validation-samples-collected-are-discrete-no-subsequent-mixing"/>
      <w:bookmarkEnd w:id="52"/>
      <w:r>
        <w:t xml:space="preserve">Assumption validation: samples collected are discrete (no subsequent mixing)</w:t>
      </w:r>
    </w:p>
    <w:p>
      <w:pPr>
        <w:pStyle w:val="Heading5"/>
      </w:pPr>
      <w:bookmarkStart w:id="53" w:name="rising-limb-sampler-discretion-analysis"/>
      <w:bookmarkEnd w:id="53"/>
      <w:r>
        <w:t xml:space="preserve">Rising limb sampler discretion analysis</w:t>
      </w:r>
    </w:p>
    <w:p>
      <w:pPr>
        <w:pStyle w:val="Heading2"/>
      </w:pPr>
      <w:bookmarkStart w:id="54" w:name="development-of-a-passive-water-sampler-design-for-the-falling-limb-of-hydrograph-falling-limb-sampler"/>
      <w:bookmarkEnd w:id="54"/>
      <w:r>
        <w:t xml:space="preserve">Development of a passive water sampler design for the falling limb of hydrograph (falling limb sampler)</w:t>
      </w:r>
    </w:p>
    <w:p>
      <w:pPr>
        <w:pStyle w:val="Heading3"/>
      </w:pPr>
      <w:bookmarkStart w:id="55" w:name="theory-1"/>
      <w:bookmarkEnd w:id="55"/>
      <w:r>
        <w:t xml:space="preserve">Theory</w:t>
      </w:r>
    </w:p>
    <w:p>
      <w:pPr>
        <w:pStyle w:val="Heading3"/>
      </w:pPr>
      <w:bookmarkStart w:id="56" w:name="design-1"/>
      <w:bookmarkEnd w:id="56"/>
      <w:r>
        <w:t xml:space="preserve">Design</w:t>
      </w:r>
    </w:p>
    <w:p>
      <w:pPr>
        <w:pStyle w:val="Heading3"/>
      </w:pPr>
      <w:bookmarkStart w:id="57" w:name="benefits-challenges-and-assumptions-1"/>
      <w:bookmarkEnd w:id="57"/>
      <w:r>
        <w:t xml:space="preserve">Benefits, challenges and assumptions</w:t>
      </w:r>
    </w:p>
    <w:p>
      <w:pPr>
        <w:pStyle w:val="Heading3"/>
      </w:pPr>
      <w:bookmarkStart w:id="58" w:name="field-protocol-1"/>
      <w:bookmarkEnd w:id="58"/>
      <w:r>
        <w:t xml:space="preserve">Field protocol</w:t>
      </w:r>
    </w:p>
    <w:p>
      <w:pPr>
        <w:pStyle w:val="Heading3"/>
      </w:pPr>
      <w:bookmarkStart w:id="59" w:name="method-qaqc-falling-limb-sampler-quality-assurance-and-quality-control"/>
      <w:bookmarkEnd w:id="59"/>
      <w:r>
        <w:t xml:space="preserve">Method QA/QC: falling limb sampler quality assurance and quality control</w:t>
      </w:r>
    </w:p>
    <w:p>
      <w:pPr>
        <w:pStyle w:val="Heading4"/>
      </w:pPr>
      <w:bookmarkStart w:id="60" w:name="assumption-validation-samples-collected-are-discrete-no-premature-infiltration"/>
      <w:bookmarkEnd w:id="60"/>
      <w:r>
        <w:t xml:space="preserve">Assumption validation: samples collected are discrete (no premature infiltration)</w:t>
      </w:r>
    </w:p>
    <w:p>
      <w:pPr>
        <w:pStyle w:val="Heading5"/>
      </w:pPr>
      <w:bookmarkStart w:id="61" w:name="falling-limb-sampler-discretion-analysis"/>
      <w:bookmarkEnd w:id="61"/>
      <w:r>
        <w:t xml:space="preserve">Falling limb sampler discretion analysis</w:t>
      </w:r>
    </w:p>
    <w:p>
      <w:pPr>
        <w:pStyle w:val="Heading1"/>
      </w:pPr>
      <w:bookmarkStart w:id="62" w:name="analysis"/>
      <w:bookmarkEnd w:id="62"/>
      <w:r>
        <w:t xml:space="preserve">Analysis</w:t>
      </w:r>
    </w:p>
    <w:p>
      <w:pPr>
        <w:pStyle w:val="Heading2"/>
      </w:pPr>
      <w:bookmarkStart w:id="63" w:name="in-the-field-gauging-streamflow"/>
      <w:bookmarkEnd w:id="63"/>
      <w:r>
        <w:t xml:space="preserve">In the field: gauging streamflow</w:t>
      </w:r>
    </w:p>
    <w:p>
      <w:pPr>
        <w:pStyle w:val="Heading3"/>
      </w:pPr>
      <w:bookmarkStart w:id="64" w:name="cross-sectional-area-and-velocity"/>
      <w:bookmarkEnd w:id="64"/>
      <w:r>
        <w:t xml:space="preserve">Cross-sectional area and velocity</w:t>
      </w:r>
    </w:p>
    <w:p>
      <w:pPr>
        <w:pStyle w:val="Heading4"/>
      </w:pPr>
      <w:bookmarkStart w:id="65" w:name="weeks-outlet-1"/>
      <w:bookmarkEnd w:id="65"/>
      <w:r>
        <w:t xml:space="preserve">Weeks Outlet</w:t>
      </w:r>
    </w:p>
    <w:p>
      <w:pPr>
        <w:pStyle w:val="Heading3"/>
      </w:pPr>
      <w:bookmarkStart w:id="66" w:name="mannings-equation"/>
      <w:bookmarkEnd w:id="66"/>
      <w:r>
        <w:t xml:space="preserve">Manning’s equation</w:t>
      </w:r>
    </w:p>
    <w:p>
      <w:pPr>
        <w:pStyle w:val="Heading4"/>
      </w:pPr>
      <w:bookmarkStart w:id="67" w:name="leech-head-1"/>
      <w:bookmarkEnd w:id="67"/>
      <w:r>
        <w:t xml:space="preserve">Leech Head</w:t>
      </w:r>
    </w:p>
    <w:p>
      <w:pPr>
        <w:pStyle w:val="Heading3"/>
      </w:pPr>
      <w:bookmarkStart w:id="68" w:name="salt-dilution"/>
      <w:bookmarkEnd w:id="68"/>
      <w:r>
        <w:t xml:space="preserve">Salt dilution</w:t>
      </w:r>
    </w:p>
    <w:p>
      <w:pPr>
        <w:pStyle w:val="Heading4"/>
      </w:pPr>
      <w:bookmarkStart w:id="69" w:name="chris-creek-1"/>
      <w:bookmarkEnd w:id="69"/>
      <w:r>
        <w:t xml:space="preserve">Chris Creek</w:t>
      </w:r>
    </w:p>
    <w:p>
      <w:pPr>
        <w:pStyle w:val="Heading4"/>
      </w:pPr>
      <w:bookmarkStart w:id="70" w:name="cragg-creek-1"/>
      <w:bookmarkEnd w:id="70"/>
      <w:r>
        <w:t xml:space="preserve">Cragg Creek</w:t>
      </w:r>
    </w:p>
    <w:p>
      <w:pPr>
        <w:pStyle w:val="Heading4"/>
      </w:pPr>
      <w:bookmarkStart w:id="71" w:name="west-leech-1"/>
      <w:bookmarkEnd w:id="71"/>
      <w:r>
        <w:t xml:space="preserve">West Leech</w:t>
      </w:r>
    </w:p>
    <w:p>
      <w:pPr>
        <w:pStyle w:val="Heading2"/>
      </w:pPr>
      <w:bookmarkStart w:id="72" w:name="in-the-laboratory-measuring-water-quality-parameters"/>
      <w:bookmarkEnd w:id="72"/>
      <w:r>
        <w:t xml:space="preserve">In the laboratory: measuring water quality parameters</w:t>
      </w:r>
    </w:p>
    <w:p>
      <w:pPr>
        <w:pStyle w:val="Heading3"/>
      </w:pPr>
      <w:bookmarkStart w:id="73" w:name="quantitative-analytical-methods-for-dissolved-organic-carbon"/>
      <w:bookmarkEnd w:id="73"/>
      <w:r>
        <w:t xml:space="preserve">Quantitative analytical methods for dissolved organic carbon</w:t>
      </w:r>
    </w:p>
    <w:p>
      <w:pPr>
        <w:pStyle w:val="Heading4"/>
      </w:pPr>
      <w:bookmarkStart w:id="74" w:name="direct-via-catalytic-combution-non-purgeable-organic-carbon-shimadzu-toc-v"/>
      <w:bookmarkEnd w:id="74"/>
      <w:r>
        <w:t xml:space="preserve">Direct via catalytic combution: non-purgeable organic carbon (Shimadzu TOC-V)</w:t>
      </w:r>
    </w:p>
    <w:p>
      <w:pPr>
        <w:pStyle w:val="Heading4"/>
      </w:pPr>
      <w:bookmarkStart w:id="75" w:name="proxy-via-spectrophotometry-optical-absorbance-scan-spectrolyser"/>
      <w:bookmarkEnd w:id="75"/>
      <w:r>
        <w:t xml:space="preserve">Proxy via spectrophotometry: optical absorbance (Scan Spectrolyser)</w:t>
      </w:r>
    </w:p>
    <w:p>
      <w:pPr>
        <w:pStyle w:val="Heading3"/>
      </w:pPr>
      <w:bookmarkStart w:id="76" w:name="qualitative-analytical-methods"/>
      <w:bookmarkEnd w:id="76"/>
      <w:r>
        <w:t xml:space="preserve">Qualitative analytical methods</w:t>
      </w:r>
    </w:p>
    <w:p>
      <w:pPr>
        <w:pStyle w:val="Heading4"/>
      </w:pPr>
      <w:bookmarkStart w:id="77" w:name="molecular-character-of-organic-matter-via-fluorescence-excitation-emission-horiba-aqualog"/>
      <w:bookmarkEnd w:id="77"/>
      <w:r>
        <w:t xml:space="preserve">Molecular character of organic matter via fluorescence excitation emission (Horiba Aqualog)</w:t>
      </w:r>
    </w:p>
    <w:p>
      <w:pPr>
        <w:pStyle w:val="Heading3"/>
      </w:pPr>
      <w:bookmarkStart w:id="78" w:name="ancillary-data-contributions-from-partners"/>
      <w:bookmarkEnd w:id="78"/>
      <w:r>
        <w:t xml:space="preserve">Ancillary data: contributions from partners</w:t>
      </w:r>
    </w:p>
    <w:p>
      <w:pPr>
        <w:pStyle w:val="Compact"/>
        <w:numPr>
          <w:numId w:val="1008"/>
          <w:ilvl w:val="0"/>
        </w:numPr>
      </w:pPr>
      <w:r>
        <w:t xml:space="preserve">CRD FWx</w:t>
      </w:r>
    </w:p>
    <w:p>
      <w:pPr>
        <w:pStyle w:val="Compact"/>
        <w:numPr>
          <w:numId w:val="1009"/>
          <w:ilvl w:val="1"/>
        </w:numPr>
      </w:pPr>
      <w:r>
        <w:t xml:space="preserve">Chris Creek weather station</w:t>
      </w:r>
    </w:p>
    <w:p>
      <w:pPr>
        <w:pStyle w:val="Compact"/>
        <w:numPr>
          <w:numId w:val="1009"/>
          <w:ilvl w:val="1"/>
        </w:numPr>
      </w:pPr>
      <w:r>
        <w:t xml:space="preserve">Martin’s Gulch weather station</w:t>
      </w:r>
    </w:p>
    <w:p>
      <w:pPr>
        <w:pStyle w:val="Compact"/>
        <w:numPr>
          <w:numId w:val="1008"/>
          <w:ilvl w:val="0"/>
        </w:numPr>
      </w:pPr>
      <w:r>
        <w:t xml:space="preserve">CRD turbidity</w:t>
      </w:r>
    </w:p>
    <w:p>
      <w:pPr>
        <w:pStyle w:val="Compact"/>
        <w:numPr>
          <w:numId w:val="1008"/>
          <w:ilvl w:val="0"/>
        </w:numPr>
      </w:pPr>
      <w:r>
        <w:t xml:space="preserve">CRD flow (Cragg, Judge, Rithet, Tunnel?)</w:t>
      </w:r>
    </w:p>
    <w:p>
      <w:pPr>
        <w:pStyle w:val="Compact"/>
        <w:numPr>
          <w:numId w:val="1008"/>
          <w:ilvl w:val="0"/>
        </w:numPr>
      </w:pPr>
      <w:r>
        <w:t xml:space="preserve">CRD metals</w:t>
      </w:r>
    </w:p>
    <w:p>
      <w:pPr>
        <w:pStyle w:val="Compact"/>
        <w:numPr>
          <w:numId w:val="1008"/>
          <w:ilvl w:val="0"/>
        </w:numPr>
      </w:pPr>
      <w:r>
        <w:t xml:space="preserve">forWater tretability</w:t>
      </w:r>
      <w:r>
        <w:t xml:space="preserve"> </w:t>
      </w:r>
      <w:r>
        <w:t xml:space="preserve">### Laboratory QA/QC: quality assurance and quality control</w:t>
      </w:r>
      <w:r>
        <w:t xml:space="preserve"> </w:t>
      </w:r>
      <w:r>
        <w:t xml:space="preserve">#### Instrument calibration</w:t>
      </w:r>
      <w:r>
        <w:t xml:space="preserve"> </w:t>
      </w:r>
      <w:r>
        <w:t xml:space="preserve">#### Calibration verification (cal vers)</w:t>
      </w:r>
    </w:p>
    <w:p>
      <w:pPr>
        <w:pStyle w:val="Heading1"/>
      </w:pPr>
      <w:bookmarkStart w:id="79" w:name="results-discussion"/>
      <w:bookmarkEnd w:id="79"/>
      <w:r>
        <w:t xml:space="preserve">Results &amp; Discussion</w:t>
      </w:r>
    </w:p>
    <w:p>
      <w:pPr>
        <w:pStyle w:val="Heading2"/>
      </w:pPr>
      <w:bookmarkStart w:id="80" w:name="spatial-variability-doc-variability-across-the-watershed"/>
      <w:bookmarkEnd w:id="80"/>
      <w:r>
        <w:t xml:space="preserve">Spatial variability: DOC variability across the watershed</w:t>
      </w:r>
    </w:p>
    <w:p>
      <w:pPr>
        <w:pStyle w:val="Heading3"/>
      </w:pPr>
      <w:bookmarkStart w:id="81" w:name="synoptic-grab-sampling-at-ten-locations"/>
      <w:bookmarkEnd w:id="81"/>
      <w:r>
        <w:t xml:space="preserve">Synoptic grab sampling at ten locations</w:t>
      </w:r>
    </w:p>
    <w:p>
      <w:pPr>
        <w:pStyle w:val="Heading3"/>
      </w:pPr>
      <w:bookmarkStart w:id="82" w:name="stormflow-samples-compare-and-contrast-six-sites"/>
      <w:bookmarkEnd w:id="82"/>
      <w:r>
        <w:t xml:space="preserve">Stormflow samples: compare and contrast six sites</w:t>
      </w:r>
    </w:p>
    <w:p>
      <w:pPr>
        <w:pStyle w:val="Heading2"/>
      </w:pPr>
      <w:bookmarkStart w:id="83" w:name="temporal-variability-doc-variability-over-time-and-within-stormflow"/>
      <w:bookmarkEnd w:id="83"/>
      <w:r>
        <w:t xml:space="preserve">Temporal variability: DOC variability over time and within stormflow</w:t>
      </w:r>
    </w:p>
    <w:p>
      <w:pPr>
        <w:pStyle w:val="Heading3"/>
      </w:pPr>
      <w:bookmarkStart w:id="84" w:name="seasonal-patterns-over-sixteen-months-of-data"/>
      <w:bookmarkEnd w:id="84"/>
      <w:r>
        <w:t xml:space="preserve">Seasonal patterns over sixteen months of data</w:t>
      </w:r>
    </w:p>
    <w:p>
      <w:pPr>
        <w:pStyle w:val="Heading3"/>
      </w:pPr>
      <w:bookmarkStart w:id="85" w:name="stormflow-samples-variability-within-six-sites"/>
      <w:bookmarkEnd w:id="85"/>
      <w:r>
        <w:t xml:space="preserve">Stormflow samples: variability within six sites</w:t>
      </w:r>
    </w:p>
    <w:p>
      <w:pPr>
        <w:pStyle w:val="Heading1"/>
      </w:pPr>
      <w:bookmarkStart w:id="86" w:name="conculsions"/>
      <w:bookmarkEnd w:id="86"/>
      <w:r>
        <w:t xml:space="preserve">Conculsions</w:t>
      </w:r>
    </w:p>
    <w:p>
      <w:pPr>
        <w:pStyle w:val="Heading2"/>
      </w:pPr>
      <w:bookmarkStart w:id="87" w:name="characterizing-the-leech-water-supply-area"/>
      <w:bookmarkEnd w:id="87"/>
      <w:r>
        <w:t xml:space="preserve">Characterizing the Leech Water Supply Area</w:t>
      </w:r>
    </w:p>
    <w:p>
      <w:pPr>
        <w:pStyle w:val="Heading2"/>
      </w:pPr>
      <w:bookmarkStart w:id="88" w:name="understanding-spatial-and-temporal-variability-in-hydrochemical-dynamics"/>
      <w:bookmarkEnd w:id="88"/>
      <w:r>
        <w:t xml:space="preserve">Understanding spatial and temporal variability in hydrochemical dynamics</w:t>
      </w:r>
    </w:p>
    <w:p>
      <w:pPr>
        <w:pStyle w:val="Heading1"/>
      </w:pPr>
      <w:bookmarkStart w:id="89" w:name="future-directions"/>
      <w:bookmarkEnd w:id="89"/>
      <w:r>
        <w:t xml:space="preserve">Future Directions</w:t>
      </w:r>
    </w:p>
    <w:p>
      <w:pPr>
        <w:pStyle w:val="Compact"/>
        <w:numPr>
          <w:numId w:val="1010"/>
          <w:ilvl w:val="0"/>
        </w:numPr>
      </w:pPr>
      <w:r>
        <w:t xml:space="preserve">How will source water with higher tannins (i.e Leech River water) affect the primary treatment process of UV disinfection (currently used for Sooke rerservoir water)?</w:t>
      </w:r>
    </w:p>
    <w:p>
      <w:pPr>
        <w:pStyle w:val="Compact"/>
        <w:numPr>
          <w:numId w:val="1011"/>
          <w:ilvl w:val="1"/>
        </w:numPr>
      </w:pPr>
      <w:r>
        <w:t xml:space="preserve">What are the operational limits of TOC (or tannins) in source water with respect to UVT system performance?</w:t>
      </w:r>
    </w:p>
    <w:p>
      <w:pPr>
        <w:pStyle w:val="Compact"/>
        <w:numPr>
          <w:numId w:val="1010"/>
          <w:ilvl w:val="0"/>
        </w:numPr>
      </w:pPr>
      <w:r>
        <w:t xml:space="preserve">Can UVT photodegrade TOC molecules such that DBP-FP is reduced?</w:t>
      </w:r>
    </w:p>
    <w:p>
      <w:pPr>
        <w:pStyle w:val="Compact"/>
        <w:numPr>
          <w:numId w:val="1010"/>
          <w:ilvl w:val="0"/>
        </w:numPr>
      </w:pPr>
      <w:r>
        <w:t xml:space="preserve">Can UVT be used as a primary treatment to reduce the requirements for chemical filtration and reduce the solid waste generated by coagaulants?</w:t>
      </w:r>
    </w:p>
    <w:p>
      <w:pPr>
        <w:pStyle w:val="Heading1"/>
      </w:pPr>
      <w:bookmarkStart w:id="90" w:name="appendix"/>
      <w:bookmarkEnd w:id="90"/>
      <w:r>
        <w:t xml:space="preserve">APPENDIX</w:t>
      </w:r>
    </w:p>
    <w:p>
      <w:pPr>
        <w:pStyle w:val="Heading2"/>
      </w:pPr>
      <w:bookmarkStart w:id="91" w:name="forwater-nserc-strategic-network-for-forested-drinking-water-source-protection-technologies"/>
      <w:bookmarkEnd w:id="91"/>
      <w:r>
        <w:t xml:space="preserve">forWater: NSERC Strategic Network for forested drinking water source protection technologies</w:t>
      </w:r>
    </w:p>
    <w:p>
      <w:pPr>
        <w:pStyle w:val="FirstParagraph"/>
      </w:pPr>
      <w:r>
        <w:t xml:space="preserve">The forWater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pPr>
        <w:pStyle w:val="FigureWithCaption"/>
      </w:pPr>
      <w:r>
        <w:drawing>
          <wp:inline>
            <wp:extent cx="5943600" cy="3970324"/>
            <wp:effectExtent b="0" l="0" r="0" t="0"/>
            <wp:docPr descr="forWater NSERC Network for Forested Drinking Water Source Protection Technologies" title="" id="1" name="Picture"/>
            <a:graphic>
              <a:graphicData uri="http://schemas.openxmlformats.org/drawingml/2006/picture">
                <pic:pic>
                  <pic:nvPicPr>
                    <pic:cNvPr descr="images/SourceWater-forWater_smartart.jpg" id="0" name="Picture"/>
                    <pic:cNvPicPr>
                      <a:picLocks noChangeArrowheads="1" noChangeAspect="1"/>
                    </pic:cNvPicPr>
                  </pic:nvPicPr>
                  <pic:blipFill>
                    <a:blip r:embed="rId92"/>
                    <a:stretch>
                      <a:fillRect/>
                    </a:stretch>
                  </pic:blipFill>
                  <pic:spPr bwMode="auto">
                    <a:xfrm>
                      <a:off x="0" y="0"/>
                      <a:ext cx="5943600" cy="3970324"/>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FigureWithCaption"/>
      </w:pPr>
      <w:r>
        <w:drawing>
          <wp:inline>
            <wp:extent cx="5943600" cy="3540650"/>
            <wp:effectExtent b="0" l="0" r="0" t="0"/>
            <wp:docPr descr="forWater NSERC Network for Forested Drinking Water Source Protection Technologies" title="" id="1" name="Picture"/>
            <a:graphic>
              <a:graphicData uri="http://schemas.openxmlformats.org/drawingml/2006/picture">
                <pic:pic>
                  <pic:nvPicPr>
                    <pic:cNvPr descr="images/forWater_smartart.jpg" id="0" name="Picture"/>
                    <pic:cNvPicPr>
                      <a:picLocks noChangeArrowheads="1" noChangeAspect="1"/>
                    </pic:cNvPicPr>
                  </pic:nvPicPr>
                  <pic:blipFill>
                    <a:blip r:embed="rId93"/>
                    <a:stretch>
                      <a:fillRect/>
                    </a:stretch>
                  </pic:blipFill>
                  <pic:spPr bwMode="auto">
                    <a:xfrm>
                      <a:off x="0" y="0"/>
                      <a:ext cx="5943600" cy="3540650"/>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FigureWithCaption"/>
      </w:pPr>
      <w:r>
        <w:drawing>
          <wp:inline>
            <wp:extent cx="5943600" cy="1550323"/>
            <wp:effectExtent b="0" l="0" r="0" t="0"/>
            <wp:docPr descr="forWater Research Themes" title="" id="1" name="Picture"/>
            <a:graphic>
              <a:graphicData uri="http://schemas.openxmlformats.org/drawingml/2006/picture">
                <pic:pic>
                  <pic:nvPicPr>
                    <pic:cNvPr descr="images/forWater_themes.jpg" id="0" name="Picture"/>
                    <pic:cNvPicPr>
                      <a:picLocks noChangeArrowheads="1" noChangeAspect="1"/>
                    </pic:cNvPicPr>
                  </pic:nvPicPr>
                  <pic:blipFill>
                    <a:blip r:embed="rId94"/>
                    <a:stretch>
                      <a:fillRect/>
                    </a:stretch>
                  </pic:blipFill>
                  <pic:spPr bwMode="auto">
                    <a:xfrm>
                      <a:off x="0" y="0"/>
                      <a:ext cx="5943600" cy="1550323"/>
                    </a:xfrm>
                    <a:prstGeom prst="rect">
                      <a:avLst/>
                    </a:prstGeom>
                    <a:noFill/>
                    <a:ln w="9525">
                      <a:noFill/>
                      <a:headEnd/>
                      <a:tailEnd/>
                    </a:ln>
                  </pic:spPr>
                </pic:pic>
              </a:graphicData>
            </a:graphic>
          </wp:inline>
        </w:drawing>
      </w:r>
    </w:p>
    <w:p>
      <w:pPr>
        <w:pStyle w:val="ImageCaption"/>
      </w:pPr>
      <w:r>
        <w:t xml:space="preserve">forWater Research Themes</w:t>
      </w:r>
    </w:p>
    <w:p>
      <w:pPr>
        <w:pStyle w:val="Heading1"/>
      </w:pPr>
      <w:bookmarkStart w:id="95" w:name="references"/>
      <w:bookmarkEnd w:id="95"/>
      <w:r>
        <w:t xml:space="preserve">References</w:t>
      </w:r>
    </w:p>
    <w:p>
      <w:pPr>
        <w:pStyle w:val="Bibliography"/>
      </w:pPr>
      <w:r>
        <w:t xml:space="preserve">Capital Region District, Integrated Water Services. 2017. “Regional Water Supply 2017 Strategic Plan.” Victoria, B.C.</w:t>
      </w:r>
    </w:p>
    <w:sectPr w:rsidR="00877640" w:rsidSect="00CC27DB">
      <w:footerReference w:type="default" r:id="rId8"/>
      <w:pgSz w:w="12240" w:h="15840"/>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rsidR="00CC27DB" w:rsidRDefault="000572D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C27DB" w:rsidRDefault="000572D9">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A9E62B3"/>
    <w:multiLevelType w:val="multilevel"/>
    <w:tmpl w:val="DA989F0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D4DF4AB"/>
    <w:multiLevelType w:val="multilevel"/>
    <w:tmpl w:val="B7000894"/>
    <w:lvl w:ilvl="0">
      <w:start w:val="1"/>
      <w:numFmt w:val="decimal"/>
      <w:lvlText w:val="%1."/>
      <w:lvlJc w:val="left"/>
      <w:pPr>
        <w:tabs>
          <w:tab w:val="num" w:pos="0"/>
        </w:tabs>
        <w:ind w:left="480" w:hanging="480"/>
      </w:pPr>
      <w:rPr>
        <w:b/>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19923066"/>
    <w:multiLevelType w:val="multilevel"/>
    <w:tmpl w:val="783651B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30895765"/>
    <w:multiLevelType w:val="multilevel"/>
    <w:tmpl w:val="6CECF4F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3E7F746D"/>
    <w:multiLevelType w:val="multilevel"/>
    <w:tmpl w:val="E48A1CF0"/>
    <w:lvl w:ilvl="0">
      <w:start w:val="2"/>
      <w:numFmt w:val="decimal"/>
      <w:lvlText w:val="%1."/>
      <w:lvlJc w:val="left"/>
      <w:pPr>
        <w:tabs>
          <w:tab w:val="num" w:pos="0"/>
        </w:tabs>
        <w:ind w:left="480" w:hanging="480"/>
      </w:pPr>
      <w:rPr>
        <w:b/>
      </w:r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4AA7B99E"/>
    <w:multiLevelType w:val="multilevel"/>
    <w:tmpl w:val="FC282C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5C81142C"/>
    <w:multiLevelType w:val="multilevel"/>
    <w:tmpl w:val="9A203334"/>
    <w:lvl w:ilvl="0">
      <w:numFmt w:val="bullet"/>
      <w:lvlText w:val="•"/>
      <w:lvlJc w:val="left"/>
      <w:pPr>
        <w:tabs>
          <w:tab w:val="num" w:pos="0"/>
        </w:tabs>
        <w:ind w:left="480" w:hanging="480"/>
      </w:pPr>
    </w:lvl>
    <w:lvl w:ilvl="1">
      <w:start w:va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9666ffc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0b7250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3"/>
  </w:num>
  <w:num w:numId="2">
    <w:abstractNumId w:val="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0"/>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num>
  <w:num w:numId="25">
    <w:abstractNumId w:val="5"/>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27DB"/>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before="240"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before="240"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spacing w:before="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CC27DB"/>
    <w:pPr>
      <w:tabs>
        <w:tab w:val="right" w:leader="dot" w:pos="9350"/>
      </w:tabs>
      <w:spacing w:before="36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spacing w:before="240"/>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7B3617"/>
    <w:rPr>
      <w:noProof/>
    </w:rPr>
  </w:style>
  <w:style w:type="character" w:styleId="SubtleEmphasis">
    <w:name w:val="Subtle Emphasis"/>
    <w:basedOn w:val="DefaultParagraphFont"/>
    <w:uiPriority w:val="19"/>
    <w:qFormat/>
    <w:rsid w:val="00CC27D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footer" Target="footer1.xml"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36" Target="media/rId36.jpg" /><Relationship Type="http://schemas.openxmlformats.org/officeDocument/2006/relationships/image" Id="rId31" Target="media/rId31.jpg" /><Relationship Type="http://schemas.openxmlformats.org/officeDocument/2006/relationships/image" Id="rId92" Target="media/rId92.jpg" /><Relationship Type="http://schemas.openxmlformats.org/officeDocument/2006/relationships/image" Id="rId93" Target="media/rId93.jpg" /><Relationship Type="http://schemas.openxmlformats.org/officeDocument/2006/relationships/image" Id="rId94" Target="media/rId94.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24</Pages>
  <Words>4190</Words>
  <Characters>23883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28017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hydrochemical dynamics in a rain-dominated water supply area: characterizing the Leech watershed using passive sampling techniques</dc:title>
  <dc:creator>Hannah J McSorley</dc:creator>
  <dcterms:created xsi:type="dcterms:W3CDTF">2019-11-11T01:45:47Z</dcterms:created>
  <dcterms:modified xsi:type="dcterms:W3CDTF">2019-11-11T01:45:47Z</dcterms:modified>
</cp:coreProperties>
</file>